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9367" w14:textId="301C180C" w:rsidR="00ED0946" w:rsidRDefault="000C5DCC" w:rsidP="00ED0946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Meslekler Arası Eğitim CAIPE standartları (Türkçe) </w:t>
      </w:r>
    </w:p>
    <w:p w14:paraId="0ACC727D" w14:textId="77777777" w:rsidR="000C5DCC" w:rsidRPr="00ED0946" w:rsidRDefault="000C5DCC" w:rsidP="00ED0946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0946" w:rsidRPr="00ED0946" w14:paraId="26523DC4" w14:textId="77777777" w:rsidTr="00ED0946">
        <w:tc>
          <w:tcPr>
            <w:tcW w:w="4531" w:type="dxa"/>
          </w:tcPr>
          <w:p w14:paraId="7F07A73A" w14:textId="39B58149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STANDARDS STATEMENTS</w:t>
            </w:r>
          </w:p>
        </w:tc>
        <w:tc>
          <w:tcPr>
            <w:tcW w:w="4531" w:type="dxa"/>
          </w:tcPr>
          <w:p w14:paraId="63A75AC6" w14:textId="69C70E3E" w:rsidR="00ED0946" w:rsidRPr="00ED0946" w:rsidRDefault="00ED0946" w:rsidP="004D5A71">
            <w:pPr>
              <w:pStyle w:val="Balk1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t>STANDART AÇIKLAMALARI – TÜRKÇE ÇEVİRİ</w:t>
            </w:r>
          </w:p>
        </w:tc>
      </w:tr>
      <w:tr w:rsidR="00ED0946" w:rsidRPr="00ED0946" w14:paraId="0C924AAC" w14:textId="77777777" w:rsidTr="00ED0946">
        <w:tc>
          <w:tcPr>
            <w:tcW w:w="4531" w:type="dxa"/>
          </w:tcPr>
          <w:p w14:paraId="4106BEF5" w14:textId="041AC2E7" w:rsidR="004D5A71" w:rsidRDefault="00ED0946" w:rsidP="004D5A71">
            <w:pPr>
              <w:pStyle w:val="ListeParagraf"/>
              <w:numPr>
                <w:ilvl w:val="0"/>
                <w:numId w:val="1"/>
              </w:numPr>
              <w:rPr>
                <w:rFonts w:ascii="Arial Narrow" w:hAnsi="Arial Narrow"/>
                <w:sz w:val="20"/>
                <w:szCs w:val="20"/>
              </w:rPr>
            </w:pPr>
            <w:r w:rsidRPr="004D5A71">
              <w:rPr>
                <w:rFonts w:ascii="Arial Narrow" w:hAnsi="Arial Narrow"/>
                <w:sz w:val="20"/>
                <w:szCs w:val="20"/>
              </w:rPr>
              <w:t xml:space="preserve">Governance </w:t>
            </w:r>
          </w:p>
          <w:p w14:paraId="21C15724" w14:textId="77777777" w:rsidR="004D5A71" w:rsidRPr="004D5A71" w:rsidRDefault="004D5A71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4C7FF9B" w14:textId="23D1C1DB" w:rsidR="00ED0946" w:rsidRPr="004D5A71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4D5A71">
              <w:rPr>
                <w:rFonts w:ascii="Arial Narrow" w:hAnsi="Arial Narrow"/>
                <w:sz w:val="20"/>
                <w:szCs w:val="20"/>
              </w:rPr>
              <w:t xml:space="preserve">Institutional oversight and accountability for interprofessional education provision </w:t>
            </w:r>
          </w:p>
          <w:p w14:paraId="4CF20E65" w14:textId="77777777" w:rsidR="004D5A71" w:rsidRDefault="004D5A71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7A59E93" w14:textId="2576784E" w:rsid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1.1 Governance processes take account of the UK health and social care policy context, systems drivers and professional, statutory and regulatory body requirements </w:t>
            </w:r>
          </w:p>
          <w:p w14:paraId="7D9FBC33" w14:textId="77777777" w:rsidR="004D5A71" w:rsidRPr="00ED0946" w:rsidRDefault="004D5A71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C128E4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1.2 Interprofessional education is integrated into single and/or cross- institutional educational governance structures, including practice-based education providers </w:t>
            </w:r>
          </w:p>
          <w:p w14:paraId="12AB21BA" w14:textId="77777777" w:rsidR="004D5A71" w:rsidRDefault="004D5A71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ABB92" w14:textId="1D604E5E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1.3 Interprofessional education is championed at senior institutional decision-making boards and committees </w:t>
            </w:r>
          </w:p>
          <w:p w14:paraId="1E8A6BF6" w14:textId="77777777" w:rsidR="004D5A71" w:rsidRDefault="004D5A71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0ABCE8" w14:textId="7127CA5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1.4 There is active collaborative working between all relevant education providers/schools/departments and programmes that enables effective interprofessional education provision </w:t>
            </w:r>
          </w:p>
          <w:p w14:paraId="14FE0D90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1.5 Resource allocation arrangements provide for interprofessional education requirements.</w:t>
            </w:r>
          </w:p>
          <w:p w14:paraId="715B1BC2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C81B6A4" w14:textId="77777777" w:rsidR="004D5A71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2.0 Leadership and management </w:t>
            </w:r>
          </w:p>
          <w:p w14:paraId="06E2E859" w14:textId="77777777" w:rsidR="004D5A71" w:rsidRDefault="004D5A71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F44E87F" w14:textId="44D3A80E" w:rsid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Leadership covers direction setting, establishment of a collaborative culture and commitment to excellence. Management includes liaison between institutions and/or local organisations for the delivery of agreed provision </w:t>
            </w:r>
          </w:p>
          <w:p w14:paraId="1B6A8430" w14:textId="77777777" w:rsidR="004D5A71" w:rsidRPr="00ED0946" w:rsidRDefault="004D5A71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198361E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2.1 There is a senior champion(s) who leads and advocates for strategic and operational aspects of interprofessional education and who maintains strong partnerships across programmes, departments and external organisations </w:t>
            </w:r>
          </w:p>
          <w:p w14:paraId="6760D88A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2.2 The senior champion is embedded into institutional educational structures and is supported by programme interprofessional education leads, faculty and administrative staff </w:t>
            </w:r>
          </w:p>
          <w:p w14:paraId="09601674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2.3 All interprofessional education leads, faculty and administrators have dedicated time and resources to carry out their roles.</w:t>
            </w:r>
          </w:p>
          <w:p w14:paraId="464A1E55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3844A2" w14:textId="77777777" w:rsidR="004D5A71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3.0 Interprofessional education framework </w:t>
            </w:r>
          </w:p>
          <w:p w14:paraId="30554105" w14:textId="77777777" w:rsidR="004D5A71" w:rsidRDefault="004D5A71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7A7394" w14:textId="1DADD1C5" w:rsid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The way in which an institution’s interprofessional education strategy is embedded across programmes </w:t>
            </w:r>
          </w:p>
          <w:p w14:paraId="1ED9BCC0" w14:textId="77777777" w:rsidR="004D5A71" w:rsidRPr="00ED0946" w:rsidRDefault="004D5A71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94B0A01" w14:textId="67E455B7" w:rsidR="004D5A71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3.1 There is an institutional interprofessional education framework that: </w:t>
            </w:r>
          </w:p>
          <w:p w14:paraId="24A79EAA" w14:textId="7E3C7B90" w:rsidR="004D5A71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3.1.1 reflects the local education and care delivery context </w:t>
            </w:r>
          </w:p>
          <w:p w14:paraId="49AC327A" w14:textId="7EBDDF07" w:rsidR="004D5A71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3.1.2 describes an incremental journey from theory to practice for all students</w:t>
            </w:r>
          </w:p>
          <w:p w14:paraId="3ADB85E6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3.1.3 aligns with the evidence-base for best practice in interprofessional education curricula </w:t>
            </w:r>
          </w:p>
          <w:p w14:paraId="12ACA8C4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lastRenderedPageBreak/>
              <w:t xml:space="preserve">3.1.4 has an appropriate philosophical, conceptual and theoretical basis </w:t>
            </w:r>
          </w:p>
          <w:p w14:paraId="04D32360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3.1.5 is co-created with stakeholders </w:t>
            </w:r>
          </w:p>
          <w:p w14:paraId="3300C7E2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3.1.6 is endorsed and supported by senior management and programme leads </w:t>
            </w:r>
          </w:p>
          <w:p w14:paraId="4000F0CF" w14:textId="77777777" w:rsid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3.1.7 includes learning outcomes that align with UK professional, statutory and regulatory requirements.</w:t>
            </w:r>
          </w:p>
          <w:p w14:paraId="1D9D56AC" w14:textId="77777777" w:rsidR="004D5A71" w:rsidRPr="00ED0946" w:rsidRDefault="004D5A71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230884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3.2 Learning approaches used to deliver the interprofessional education framework 3.2.1 emphasise authentic, active, inclusive and social learning </w:t>
            </w:r>
          </w:p>
          <w:p w14:paraId="7E0AAF8D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3.2.2 use face-to-face and technology-enabled learning </w:t>
            </w:r>
          </w:p>
          <w:p w14:paraId="7AFDC14F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3.2.3 foster knowledge and understanding of other professions’ priorities, skills and team contributions </w:t>
            </w:r>
          </w:p>
          <w:p w14:paraId="73EDF519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3.2.4 encourage respect for others’ areas of expertise </w:t>
            </w:r>
          </w:p>
          <w:p w14:paraId="0AE0B499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3.2.5 develop students’ ability to challenge constructively where necessary </w:t>
            </w:r>
          </w:p>
          <w:p w14:paraId="697D1670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3.2.6 foster reflective practice.</w:t>
            </w:r>
          </w:p>
          <w:p w14:paraId="7ED2C41D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BA8F48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3.3 There are sufficient and appropriate resources for delivery </w:t>
            </w:r>
          </w:p>
          <w:p w14:paraId="6E17BC02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3.3.1 interprofessional education faculty have appropriate training and expertise and role model collaborative practice </w:t>
            </w:r>
          </w:p>
          <w:p w14:paraId="1F948680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3.3.2 dedicated administrative support is provided for interprofessional education </w:t>
            </w:r>
          </w:p>
          <w:p w14:paraId="1FF89406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3.3.3 funding is at an appropriate level for effective delivery of the provision </w:t>
            </w:r>
          </w:p>
          <w:p w14:paraId="1E537483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3.3.4 physical and virtual environments support collaborative learning.</w:t>
            </w:r>
          </w:p>
          <w:p w14:paraId="02A98043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3.4 Support and supervision </w:t>
            </w:r>
          </w:p>
          <w:p w14:paraId="3BAA466F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3.4.1 all faculty and students are orientated and understand their interprofessional education journey in its wider context </w:t>
            </w:r>
          </w:p>
          <w:p w14:paraId="0E5CDDBB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3.4.2 interprofessional education is integrated into personal tutoring/ academic advisory processes. </w:t>
            </w:r>
          </w:p>
          <w:p w14:paraId="1BB30B67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3.5 Assessment </w:t>
            </w:r>
          </w:p>
          <w:p w14:paraId="3EC9384C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3.5.1 interprofessional outcomes are mapped and integrated into programme specific assessment </w:t>
            </w:r>
          </w:p>
          <w:p w14:paraId="48819932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3.5.2 the assessed learning outcomes reflect students’ interprofessional education journeys from theory to practice.</w:t>
            </w:r>
          </w:p>
          <w:p w14:paraId="2EDEE7FC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3.6 Quality enhancement </w:t>
            </w:r>
          </w:p>
          <w:p w14:paraId="387679B3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3.6.1 of interprofessional education is integrated into institutional quality assurance processes </w:t>
            </w:r>
          </w:p>
          <w:p w14:paraId="3427A8FC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3.6.2 includes engagement with all stakeholders and consideration of their views </w:t>
            </w:r>
          </w:p>
          <w:p w14:paraId="708AA708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3.6.3 contributes to interprofessional education scholarship.</w:t>
            </w:r>
          </w:p>
          <w:p w14:paraId="1236D5CB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4.0 Practice-based  interprofessional education Formal and informal interprofessional education placements that occur in health and social care practice and other external environments </w:t>
            </w:r>
          </w:p>
          <w:p w14:paraId="5CB49833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4.1 Practice-based interprofessional education is integrated into partnership arrangements with providers </w:t>
            </w:r>
          </w:p>
          <w:p w14:paraId="173FB2FF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4.2 Educators collaborate to promote interprofessional education in the local context </w:t>
            </w:r>
          </w:p>
          <w:p w14:paraId="01C2ABA5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4.3 Educators raise the profile of interprofessional collaborative practice with students and with health and social care teams </w:t>
            </w:r>
          </w:p>
          <w:p w14:paraId="243F859A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lastRenderedPageBreak/>
              <w:t>4.4 Educators role model interprofessional collaborative practice.</w:t>
            </w:r>
          </w:p>
          <w:p w14:paraId="33F52251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5.0 Faculty development The ongoing training and support of all academic, practice and administrative staff involved in interprofessional education provision </w:t>
            </w:r>
          </w:p>
          <w:p w14:paraId="5E323ED6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5.1 All staff regularly develop their interprofessional education teaching capability </w:t>
            </w:r>
          </w:p>
          <w:p w14:paraId="48A18789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5.2 Patient, carer, service user and student peer educators are trained and supported in the aims, processes and requirements of interprofessional education </w:t>
            </w:r>
          </w:p>
          <w:p w14:paraId="77D96CE8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5.3 All training reflects evidence-based best practice in faculty development, including recognition of the complexity of facilitating interprofessional groups and learning for collaborative practice </w:t>
            </w:r>
          </w:p>
          <w:p w14:paraId="6B33EDD3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5.4 Training includes development of educators as skilled facilitators of diverse groups </w:t>
            </w:r>
          </w:p>
          <w:p w14:paraId="4237A6EC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5.5 Administrative staff can develop the skills they need to support and manage diverse interprofessional groups.</w:t>
            </w:r>
          </w:p>
          <w:p w14:paraId="6C0B7B88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6.0 Scholarship and research The skills and expertise to evaluate existing knowledge and practice within a discipline and to undertake research to extend and improve this understanding </w:t>
            </w:r>
          </w:p>
          <w:p w14:paraId="0F8EFB68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 xml:space="preserve">6.1 Scholarship and research are valued to inform interprofessional education provision </w:t>
            </w:r>
          </w:p>
          <w:p w14:paraId="7B4F86F1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6.2 Faculty are supported to contribute to scholarship and research.</w:t>
            </w:r>
          </w:p>
          <w:p w14:paraId="3C1847E5" w14:textId="77777777" w:rsidR="00ED0946" w:rsidRPr="00ED0946" w:rsidRDefault="00ED0946" w:rsidP="004D5A7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F6DD65C" w14:textId="77777777" w:rsidR="00ED0946" w:rsidRPr="00ED0946" w:rsidRDefault="00ED0946" w:rsidP="004D5A71">
            <w:pPr>
              <w:pStyle w:val="Balk2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lastRenderedPageBreak/>
              <w:t>1.0 Yönetişim</w:t>
            </w:r>
          </w:p>
          <w:p w14:paraId="43C571F8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Meslekler arası eğitim sunumuna ilişkin kurumsal gözetim ve hesap verebilirlik</w:t>
            </w:r>
          </w:p>
          <w:p w14:paraId="08B21C2D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1.1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Yönetişim süreçleri Birleşik Krallık sağlık ve sosyal bakım politika bağlamını, sistem dinamiklerini ve mesleki, yasal ve düzenleyici kuruluşların gerekliliklerini dikkate alır.</w:t>
            </w:r>
          </w:p>
          <w:p w14:paraId="33EF9F19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1.2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Meslekler arası eğitim; kurum içi ve/veya kurumlar arası eğitim yönetişim yapılarının içine, uygulamaya dayalı eğitim sağlayıcıları da dâhil olacak şekilde entegre edilmiştir.</w:t>
            </w:r>
          </w:p>
          <w:p w14:paraId="0AB75721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1.3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Meslekler arası eğitim, kurumun üst düzey karar alma kurulları ve komiteleri tarafından desteklenir ve savunulur.</w:t>
            </w:r>
          </w:p>
          <w:p w14:paraId="369646AF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1.4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Tüm ilgili eğitim sağlayıcıları/fakülteler/bölümler ve programlar arasında etkili meslekler arası eğitimi mümkün kılan aktif bir iş birliği mevcuttur.</w:t>
            </w:r>
          </w:p>
          <w:p w14:paraId="3E227C2B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1.5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Kaynak tahsis düzenlemeleri, meslekler arası eğitimin gerekliliklerini karşılayacak şekilde yapılandırılmıştır.</w:t>
            </w:r>
          </w:p>
          <w:p w14:paraId="4C025A3B" w14:textId="77777777" w:rsidR="00ED0946" w:rsidRPr="00ED0946" w:rsidRDefault="00E533BF" w:rsidP="004D5A71">
            <w:pPr>
              <w:spacing w:after="1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 w14:anchorId="53881655">
                <v:rect id="_x0000_i1029" alt="" style="width:453.6pt;height:.05pt;mso-width-percent:0;mso-height-percent:0;mso-width-percent:0;mso-height-percent:0" o:hralign="center" o:hrstd="t" o:hr="t" fillcolor="#a0a0a0" stroked="f"/>
              </w:pict>
            </w:r>
          </w:p>
          <w:p w14:paraId="114C76C2" w14:textId="77777777" w:rsidR="00ED0946" w:rsidRPr="00ED0946" w:rsidRDefault="00ED0946" w:rsidP="004D5A71">
            <w:pPr>
              <w:pStyle w:val="Balk2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t>2.0 Liderlik ve Yönetim</w:t>
            </w:r>
          </w:p>
          <w:p w14:paraId="3D74A47A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Liderlik; yön belirleme, iş birliğine dayalı bir kültür oluşturma ve mükemmeliyete bağlılığı kapsar. Yönetim ise kurumlar ve/veya yerel organizasyonlar arasında üzerinde uzlaşılan eğitim sunumunun yürütülmesi için gerekli koordinasyonu içerir.</w:t>
            </w:r>
          </w:p>
          <w:p w14:paraId="3ED6B868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2.1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Meslekler arası eğitimin stratejik ve operasyonel yönlerini yöneten ve savunan, programlar, bölümler ve dış paydaş kuruluşlarla güçlü ortaklıklar sürdüren üst düzey bir savunucu (lider) bulunmaktadır.</w:t>
            </w:r>
          </w:p>
          <w:p w14:paraId="4E6D50B0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2.2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Bu üst düzey savunucu, kurumsal eğitim yapıları içine gömülüdür ve program düzeyindeki meslekler arası eğitim liderleri, öğretim üyeleri ve idari personel tarafından desteklenir.</w:t>
            </w:r>
          </w:p>
          <w:p w14:paraId="52BD40C9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2.3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Tüm meslekler arası eğitim liderleri, öğretim üyeleri ve idari personel, rollerini yerine getirebilmeleri için özel zaman ve kaynaklara sahiptir.</w:t>
            </w:r>
          </w:p>
          <w:p w14:paraId="416B387C" w14:textId="77777777" w:rsidR="00ED0946" w:rsidRPr="00ED0946" w:rsidRDefault="00E533BF" w:rsidP="004D5A71">
            <w:pPr>
              <w:spacing w:after="1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 w14:anchorId="1BCCCB31">
                <v:rect id="_x0000_i1028" alt="" style="width:453.6pt;height:.05pt;mso-width-percent:0;mso-height-percent:0;mso-width-percent:0;mso-height-percent:0" o:hralign="center" o:hrstd="t" o:hr="t" fillcolor="#a0a0a0" stroked="f"/>
              </w:pict>
            </w:r>
          </w:p>
          <w:p w14:paraId="4962C23D" w14:textId="77777777" w:rsidR="00ED0946" w:rsidRPr="00ED0946" w:rsidRDefault="00ED0946" w:rsidP="004D5A71">
            <w:pPr>
              <w:pStyle w:val="Balk2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t>3.0 Meslekler Arası Eğitim Çerçevesi</w:t>
            </w:r>
          </w:p>
          <w:p w14:paraId="6CC28C27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Bir kurumun meslekler arası eğitim stratejisinin programlar genelinde nasıl yerleştirildiğini ifade eder.</w:t>
            </w:r>
          </w:p>
          <w:p w14:paraId="7E87A6E1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Kurumun bir meslekler arası eğitim çerçevesi vardır ve bu çerçeve: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3.1.1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yerel eğitim ve bakım sunumu bağlamını yansıtır,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3.1.2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tüm öğrenciler için teoriden uygulamaya doğru ilerleyen kademeli bir öğrenme yolculuğunu tanımlar,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3.1.3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en iyi uygulamalara ilişkin kanıta dayalı meslekler </w:t>
            </w:r>
            <w:r w:rsidRPr="00ED0946">
              <w:rPr>
                <w:rFonts w:ascii="Arial Narrow" w:hAnsi="Arial Narrow"/>
                <w:sz w:val="20"/>
                <w:szCs w:val="20"/>
              </w:rPr>
              <w:lastRenderedPageBreak/>
              <w:t>arası eğitim müfredatıyla uyumludur,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3.1.4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uygun bir felsefi, kavramsal ve teorik temele sahiptir,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3.1.5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paydaşlarla birlikte ortak şekilde oluşturulmuştur,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3.1.6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üst yönetim ve program liderleri tarafından onaylanır ve desteklenir,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3.1.7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Birleşik Krallık mesleki, yasal ve düzenleyici gereklilikleriyle uyumlu öğrenme çıktıları içerir.</w:t>
            </w:r>
          </w:p>
          <w:p w14:paraId="351A098A" w14:textId="77777777" w:rsidR="00ED0946" w:rsidRPr="00ED0946" w:rsidRDefault="00ED0946" w:rsidP="004D5A71">
            <w:pPr>
              <w:pStyle w:val="Balk3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t>3.2 Öğrenme Yaklaşımları</w:t>
            </w:r>
          </w:p>
          <w:p w14:paraId="42ECBA17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Öğrenme yaklaşımları: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3.2.1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gerçek, aktif, kapsayıcı ve sosyal öğrenmeye vurgu yapar,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3.2.2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yüz yüze ve teknoloji destekli öğrenme kullanır,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3.2.3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diğer mesleklerin öncelikleri, becerileri ve ekip katkıları konusunda bilgi ve anlayışı geliştirme fırsatı sunar,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3.2.4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diğer mesleklerin uzmanlık alanlarına saygıyı teşvik eder,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3.2.5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gerektiğinde yapıcı şekilde karşı çıkma becerisini geliştirir,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3.2.6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yansıtıcı uygulamayı destekler.</w:t>
            </w:r>
          </w:p>
          <w:p w14:paraId="0EABDEB9" w14:textId="77777777" w:rsidR="00ED0946" w:rsidRPr="00ED0946" w:rsidRDefault="00ED0946" w:rsidP="004D5A71">
            <w:pPr>
              <w:pStyle w:val="Balk3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t>3.3 Yeterli ve Uygun Kaynaklar</w:t>
            </w:r>
          </w:p>
          <w:p w14:paraId="728C14EE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3.3.1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Meslekler arası eğitim öğretim üyeleri uygun eğitim ve uzmanlığa sahiptir ve iş birliğine dayalı uygulamanın rol modelidir.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3.3.2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Meslekler arası eğitim için özel idari destek sağlanır.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3.3.3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Sunumun etkili yürütülmesi için fonlama uygun düzeydedir.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3.3.4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Fiziksel ve sanal öğrenme ortamları iş birliğine dayalı öğrenmeyi destekler.</w:t>
            </w:r>
          </w:p>
          <w:p w14:paraId="030BD15F" w14:textId="77777777" w:rsidR="00ED0946" w:rsidRPr="00ED0946" w:rsidRDefault="00ED0946" w:rsidP="004D5A71">
            <w:pPr>
              <w:pStyle w:val="Balk3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t>3.4 Destek ve Danışmanlık</w:t>
            </w:r>
          </w:p>
          <w:p w14:paraId="776BD3FE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3.4.1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Tüm öğretim üyeleri ve öğrenciler, meslekler arası eğitim yolculuklarını ve bunun daha geniş bağlamını anlamaları için başlangıçta bilgilendirilir.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3.4.2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Meslekler arası eğitim, kişisel danışmanlık/akademik danışmanlık süreçlerine entegre edilmiştir.</w:t>
            </w:r>
          </w:p>
          <w:p w14:paraId="7EB0B71A" w14:textId="77777777" w:rsidR="00ED0946" w:rsidRPr="00ED0946" w:rsidRDefault="00ED0946" w:rsidP="004D5A71">
            <w:pPr>
              <w:pStyle w:val="Balk3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t>3.5 Değerlendirme</w:t>
            </w:r>
          </w:p>
          <w:p w14:paraId="5C6D4C91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3.5.1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Meslekler arası öğrenme çıktıları, programların kendi değerlendirme yapıları içine haritalanır ve entegre edilir.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3.5.2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Değerlendirilen öğrenme çıktıları, öğrencilerin teoriden uygulamaya uzanan meslekler arası öğrenme yolculuklarını yansıtır.</w:t>
            </w:r>
          </w:p>
          <w:p w14:paraId="681F34B5" w14:textId="77777777" w:rsidR="00ED0946" w:rsidRPr="00ED0946" w:rsidRDefault="00ED0946" w:rsidP="004D5A71">
            <w:pPr>
              <w:pStyle w:val="Balk3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t>3.6 Kalite İyileştirme</w:t>
            </w:r>
          </w:p>
          <w:p w14:paraId="10360263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3.6.1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Meslekler arası eğitimin kalite iyileştirmesi, kurumsal kalite güvence süreçlerine entegre edilmiştir.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3.6.2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Tüm paydaşların katılımını ve görüşlerinin dikkate alınmasını içerir.</w:t>
            </w:r>
            <w:r w:rsidRPr="00ED0946">
              <w:rPr>
                <w:rFonts w:ascii="Arial Narrow" w:hAnsi="Arial Narrow"/>
                <w:sz w:val="20"/>
                <w:szCs w:val="20"/>
              </w:rPr>
              <w:br/>
            </w: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3.6.3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Meslekler arası eğitim bilimine/scholarship’ına katkı sağlar.</w:t>
            </w:r>
          </w:p>
          <w:p w14:paraId="03064265" w14:textId="77777777" w:rsidR="00ED0946" w:rsidRPr="00ED0946" w:rsidRDefault="00E533BF" w:rsidP="004D5A71">
            <w:pPr>
              <w:spacing w:after="1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 w14:anchorId="32A8CFFA">
                <v:rect id="_x0000_i1027" alt="" style="width:453.6pt;height:.05pt;mso-width-percent:0;mso-height-percent:0;mso-width-percent:0;mso-height-percent:0" o:hralign="center" o:hrstd="t" o:hr="t" fillcolor="#a0a0a0" stroked="f"/>
              </w:pict>
            </w:r>
          </w:p>
          <w:p w14:paraId="222DD989" w14:textId="77777777" w:rsidR="00ED0946" w:rsidRPr="00ED0946" w:rsidRDefault="00ED0946" w:rsidP="004D5A71">
            <w:pPr>
              <w:pStyle w:val="Balk2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t>4.0 Uygulama Temelli Meslekler Arası Eğitim</w:t>
            </w:r>
          </w:p>
          <w:p w14:paraId="53FF2321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Sağlık ve sosyal bakım ortamlarında gerçekleşen resmi ve gayriresmî meslekler arası eğitim yerleşimleri</w:t>
            </w:r>
          </w:p>
          <w:p w14:paraId="7DF388F8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lastRenderedPageBreak/>
              <w:t>4.1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Uygulama temelli meslekler arası eğitim, hizmet sağlayıcılarla yapılan ortaklık düzenlemelerine entegre edilmiştir.</w:t>
            </w:r>
          </w:p>
          <w:p w14:paraId="02DA8616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4.2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Eğiticiler, yerel bağlamda meslekler arası eğitimi teşvik etmek için iş birliği yaparlar.</w:t>
            </w:r>
          </w:p>
          <w:p w14:paraId="1456B45D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4.3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Eğiticiler, öğrencilerle ve sağlık-sosyal bakım ekipleriyle meslekler arası iş birliğine dayalı uygulamanın görünürlüğünü artırırlar.</w:t>
            </w:r>
          </w:p>
          <w:p w14:paraId="5D521A5E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4.4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Eğiticiler, meslekler arası iş birliğine dayalı uygulamanın rol modelidir.</w:t>
            </w:r>
          </w:p>
          <w:p w14:paraId="31CA7D0A" w14:textId="77777777" w:rsidR="00ED0946" w:rsidRPr="00ED0946" w:rsidRDefault="00E533BF" w:rsidP="004D5A71">
            <w:pPr>
              <w:spacing w:after="1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 w14:anchorId="04ED71FD">
                <v:rect id="_x0000_i1026" alt="" style="width:453.6pt;height:.05pt;mso-width-percent:0;mso-height-percent:0;mso-width-percent:0;mso-height-percent:0" o:hralign="center" o:hrstd="t" o:hr="t" fillcolor="#a0a0a0" stroked="f"/>
              </w:pict>
            </w:r>
          </w:p>
          <w:p w14:paraId="402BA9E5" w14:textId="77777777" w:rsidR="00ED0946" w:rsidRPr="00ED0946" w:rsidRDefault="00ED0946" w:rsidP="004D5A71">
            <w:pPr>
              <w:pStyle w:val="Balk2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t>5.0 Öğretim Elemanı Gelişimi</w:t>
            </w:r>
          </w:p>
          <w:p w14:paraId="6621980C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Meslekler arası eğitimde yer alan tüm akademik, uygulama temelli ve idari personelin sürekli eğitimi ve desteklenmesi</w:t>
            </w:r>
          </w:p>
          <w:p w14:paraId="31D2E6BE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5.1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Tüm personel, meslekler arası eğitim öğretim yetkinliklerini düzenli olarak geliştirir.</w:t>
            </w:r>
          </w:p>
          <w:p w14:paraId="02EACD76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5.2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Hasta, bakım veren, hizmet kullanıcıları ve öğrenci akran eğiticiler; meslekler arası eğitimin amaçları, süreçleri ve gereklilikleri doğrultusunda eğitilir ve desteklenir.</w:t>
            </w:r>
          </w:p>
          <w:p w14:paraId="04D8D175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5.3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Tüm eğitim, meslekler arası grupları yönetmenin ve iş birliğine dayalı öğrenmeyi kolaylaştırmanın karmaşıklığını tanıyan, kanıta dayalı en iyi uygulamalara dayanır.</w:t>
            </w:r>
          </w:p>
          <w:p w14:paraId="0CE821B8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5.4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Eğitim, eğiticilerin çeşitli ve heterojen grupların yetkin bir kolaylaştırıcısı olmalarını destekler.</w:t>
            </w:r>
          </w:p>
          <w:p w14:paraId="40623A66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5.5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İdari personel, çeşitli meslekler arası grupları destekleme ve yönetme için gerekli becerileri geliştirebilir.</w:t>
            </w:r>
          </w:p>
          <w:p w14:paraId="136733DE" w14:textId="77777777" w:rsidR="00ED0946" w:rsidRPr="00ED0946" w:rsidRDefault="00E533BF" w:rsidP="004D5A71">
            <w:pPr>
              <w:spacing w:after="1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 w14:anchorId="71ED7F0C">
                <v:rect id="_x0000_i1025" alt="" style="width:453.6pt;height:.05pt;mso-width-percent:0;mso-height-percent:0;mso-width-percent:0;mso-height-percent:0" o:hralign="center" o:hrstd="t" o:hr="t" fillcolor="#a0a0a0" stroked="f"/>
              </w:pict>
            </w:r>
          </w:p>
          <w:p w14:paraId="793D809F" w14:textId="77777777" w:rsidR="00ED0946" w:rsidRPr="00ED0946" w:rsidRDefault="00ED0946" w:rsidP="004D5A71">
            <w:pPr>
              <w:pStyle w:val="Balk2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hAnsi="Arial Narrow"/>
                <w:b w:val="0"/>
                <w:bCs w:val="0"/>
                <w:sz w:val="20"/>
                <w:szCs w:val="20"/>
              </w:rPr>
              <w:t>6.0 Bilimsel Çalışma ve Araştırma</w:t>
            </w:r>
          </w:p>
          <w:p w14:paraId="477C3DB6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Fonts w:ascii="Arial Narrow" w:hAnsi="Arial Narrow"/>
                <w:sz w:val="20"/>
                <w:szCs w:val="20"/>
              </w:rPr>
              <w:t>Bir alandaki mevcut bilgi ve uygulamayı değerlendirme ve bu anlayışı geliştirmek için araştırma yürütme becerileri ve uzmanlığı</w:t>
            </w:r>
          </w:p>
          <w:p w14:paraId="045842D1" w14:textId="77777777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6.1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Bilimsel çalışma ve araştırma, meslekler arası eğitim uygulamasını bilgilendirmek adına değer görür.</w:t>
            </w:r>
          </w:p>
          <w:p w14:paraId="0A8ADECE" w14:textId="478FC0F8" w:rsidR="00ED0946" w:rsidRPr="00ED0946" w:rsidRDefault="00ED0946" w:rsidP="004D5A71">
            <w:pPr>
              <w:pStyle w:val="NormalWeb"/>
              <w:spacing w:before="0" w:beforeAutospacing="0" w:after="160" w:afterAutospacing="0"/>
              <w:rPr>
                <w:rFonts w:ascii="Arial Narrow" w:hAnsi="Arial Narrow"/>
                <w:sz w:val="20"/>
                <w:szCs w:val="20"/>
              </w:rPr>
            </w:pPr>
            <w:r w:rsidRPr="00ED0946">
              <w:rPr>
                <w:rStyle w:val="Gl"/>
                <w:rFonts w:ascii="Arial Narrow" w:eastAsiaTheme="majorEastAsia" w:hAnsi="Arial Narrow"/>
                <w:b w:val="0"/>
                <w:bCs w:val="0"/>
                <w:sz w:val="20"/>
                <w:szCs w:val="20"/>
              </w:rPr>
              <w:t>6.2</w:t>
            </w:r>
            <w:r w:rsidRPr="00ED0946">
              <w:rPr>
                <w:rFonts w:ascii="Arial Narrow" w:hAnsi="Arial Narrow"/>
                <w:sz w:val="20"/>
                <w:szCs w:val="20"/>
              </w:rPr>
              <w:t xml:space="preserve"> Öğretim üyeleri, bilimsel çalışma ve araştırmaya katkıda bulunmaları için desteklenir.</w:t>
            </w:r>
          </w:p>
        </w:tc>
      </w:tr>
    </w:tbl>
    <w:p w14:paraId="557891D2" w14:textId="77777777" w:rsidR="00ED0946" w:rsidRPr="00ED0946" w:rsidRDefault="00ED0946" w:rsidP="00ED0946">
      <w:pPr>
        <w:spacing w:after="0"/>
        <w:rPr>
          <w:rFonts w:ascii="Arial Narrow" w:hAnsi="Arial Narrow"/>
          <w:sz w:val="20"/>
          <w:szCs w:val="20"/>
        </w:rPr>
      </w:pPr>
    </w:p>
    <w:sectPr w:rsidR="00ED0946" w:rsidRPr="00ED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03F84"/>
    <w:multiLevelType w:val="multilevel"/>
    <w:tmpl w:val="EC08963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94222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45"/>
    <w:rsid w:val="000C5C22"/>
    <w:rsid w:val="000C5DCC"/>
    <w:rsid w:val="00156A9C"/>
    <w:rsid w:val="00301108"/>
    <w:rsid w:val="00401E45"/>
    <w:rsid w:val="004D5A71"/>
    <w:rsid w:val="00746DFD"/>
    <w:rsid w:val="008776D3"/>
    <w:rsid w:val="00C0638A"/>
    <w:rsid w:val="00C2305E"/>
    <w:rsid w:val="00E533BF"/>
    <w:rsid w:val="00E73A07"/>
    <w:rsid w:val="00EA3B77"/>
    <w:rsid w:val="00EB15A5"/>
    <w:rsid w:val="00E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E108"/>
  <w15:chartTrackingRefBased/>
  <w15:docId w15:val="{668C04F3-9447-494B-B6EB-958CF505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0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1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1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1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401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401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1E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1E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1E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1E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1E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1E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1E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1E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1E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1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1E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1E45"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401E45"/>
    <w:rPr>
      <w:color w:val="666666"/>
    </w:rPr>
  </w:style>
  <w:style w:type="table" w:styleId="TabloKlavuzu">
    <w:name w:val="Table Grid"/>
    <w:basedOn w:val="NormalTablo"/>
    <w:uiPriority w:val="39"/>
    <w:rsid w:val="00ED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D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B5FE08-7EC0-A045-8E82-918D24AC62FC}">
  <we:reference id="wa200001361" version="2.129.3.0" store="en-US" storeType="OMEX"/>
  <we:alternateReferences>
    <we:reference id="wa200001361" version="2.129.3.0" store="en-US" storeType="OMEX"/>
  </we:alternateReferences>
  <we:properties>
    <we:property name="paperpal-document-id" value="&quot;8f5d46fd-6799-4985-8e35-d5712205b340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3</Pages>
  <Words>1617</Words>
  <Characters>10064</Characters>
  <Application>Microsoft Office Word</Application>
  <DocSecurity>0</DocSecurity>
  <Lines>479</Lines>
  <Paragraphs>365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Giray  Kolcu</dc:creator>
  <cp:keywords/>
  <dc:description/>
  <cp:lastModifiedBy>Giray  Kolcu</cp:lastModifiedBy>
  <cp:revision>2</cp:revision>
  <dcterms:created xsi:type="dcterms:W3CDTF">2025-11-24T10:05:00Z</dcterms:created>
  <dcterms:modified xsi:type="dcterms:W3CDTF">2025-12-09T09:08:00Z</dcterms:modified>
</cp:coreProperties>
</file>